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2C3B" w14:textId="77777777" w:rsidR="009A06A5" w:rsidRDefault="001C5553">
      <w:pPr>
        <w:widowControl/>
        <w:shd w:val="clear" w:color="auto" w:fill="FFFFFF"/>
        <w:adjustRightInd w:val="0"/>
        <w:snapToGrid w:val="0"/>
        <w:spacing w:line="42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附件1</w:t>
      </w:r>
    </w:p>
    <w:tbl>
      <w:tblPr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2625"/>
        <w:gridCol w:w="1358"/>
        <w:gridCol w:w="676"/>
        <w:gridCol w:w="794"/>
        <w:gridCol w:w="2252"/>
      </w:tblGrid>
      <w:tr w:rsidR="009A06A5" w14:paraId="0EC96C55" w14:textId="77777777">
        <w:trPr>
          <w:trHeight w:val="340"/>
          <w:jc w:val="center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D7334" w14:textId="77777777" w:rsidR="009A06A5" w:rsidRDefault="001C5553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小标宋_GBK" w:hAnsi="Times New Roman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kern w:val="0"/>
                <w:sz w:val="36"/>
                <w:szCs w:val="36"/>
                <w:lang w:bidi="ar"/>
              </w:rPr>
              <w:t>江苏省企业缓缴社会保险费申请表</w:t>
            </w:r>
          </w:p>
        </w:tc>
      </w:tr>
      <w:tr w:rsidR="009A06A5" w14:paraId="25C9EFE0" w14:textId="77777777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B592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80D3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9A06A5" w14:paraId="098A5B49" w14:textId="77777777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3A51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1C60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EBF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社保单位编号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2034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9A06A5" w14:paraId="566DF849" w14:textId="77777777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C4AE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213C9" w14:textId="77777777" w:rsidR="009A06A5" w:rsidRDefault="001C5553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0"/>
                <w:szCs w:val="20"/>
              </w:rPr>
              <w:t>省</w:t>
            </w:r>
            <w:r>
              <w:rPr>
                <w:rFonts w:ascii="Times New Roman" w:eastAsia="方正仿宋_GBK" w:hAnsi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0"/>
                <w:szCs w:val="20"/>
              </w:rPr>
              <w:t>市</w:t>
            </w:r>
            <w:r>
              <w:rPr>
                <w:rFonts w:ascii="Times New Roman" w:eastAsia="方正仿宋_GBK" w:hAnsi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0"/>
                <w:szCs w:val="20"/>
              </w:rPr>
              <w:t>县（市、</w:t>
            </w:r>
            <w:r>
              <w:rPr>
                <w:rFonts w:ascii="Times New Roman" w:eastAsia="方正仿宋_GBK" w:hAnsi="Times New Roman"/>
                <w:sz w:val="20"/>
                <w:szCs w:val="20"/>
              </w:rPr>
              <w:t>区</w:t>
            </w:r>
            <w:r>
              <w:rPr>
                <w:rFonts w:ascii="Times New Roman" w:eastAsia="方正仿宋_GBK" w:hAnsi="Times New Roman" w:hint="eastAsia"/>
                <w:sz w:val="20"/>
                <w:szCs w:val="20"/>
              </w:rPr>
              <w:t>）</w:t>
            </w:r>
            <w:r>
              <w:rPr>
                <w:rFonts w:ascii="Times New Roman" w:eastAsia="方正仿宋_GBK" w:hAnsi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0"/>
                <w:szCs w:val="20"/>
              </w:rPr>
              <w:t>街道</w:t>
            </w:r>
            <w:r>
              <w:rPr>
                <w:rFonts w:ascii="Times New Roman" w:eastAsia="方正仿宋_GBK" w:hAnsi="Times New Roman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0"/>
                <w:szCs w:val="20"/>
              </w:rPr>
              <w:t xml:space="preserve">   </w:t>
            </w:r>
          </w:p>
        </w:tc>
      </w:tr>
      <w:tr w:rsidR="009A06A5" w14:paraId="46DE7CCC" w14:textId="77777777">
        <w:trPr>
          <w:trHeight w:val="96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AE282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所属行业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074D7" w14:textId="77777777" w:rsidR="009A06A5" w:rsidRDefault="001C5553">
            <w:pPr>
              <w:widowControl/>
              <w:spacing w:line="240" w:lineRule="exact"/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餐饮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零售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  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旅游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民航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公路水路铁路运输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</w:p>
          <w:p w14:paraId="50FF06E4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农副食品加工业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纺织业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纺织服装、服饰业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造纸和纸制品业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</w:t>
            </w:r>
          </w:p>
          <w:p w14:paraId="62B827CD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印刷和记录媒介复制业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医药制造业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化学纤维制造业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</w:t>
            </w:r>
          </w:p>
          <w:p w14:paraId="4DDBCE8B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橡胶和塑料制品业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通用设备制造业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汽车制造业</w:t>
            </w:r>
          </w:p>
          <w:p w14:paraId="048F99FE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铁路、船舶、航空航天和其他运输设备制造业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仪器仪表制造业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社会工作</w:t>
            </w:r>
          </w:p>
          <w:p w14:paraId="1413638B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广播、电视、电影和录音制作业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文化艺术业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娱乐业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9A06A5" w14:paraId="7F4E2894" w14:textId="77777777">
        <w:trPr>
          <w:trHeight w:val="49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68BE1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企业类型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1148C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大型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中型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小型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微型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其他</w:t>
            </w:r>
          </w:p>
        </w:tc>
      </w:tr>
      <w:tr w:rsidR="009A06A5" w14:paraId="50C0B9E6" w14:textId="77777777">
        <w:trPr>
          <w:trHeight w:val="36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C147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月度利润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及稳岗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C963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申请缓缴前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个月累计亏损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已采取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稳岗措施且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个月无批量裁员</w:t>
            </w:r>
          </w:p>
        </w:tc>
      </w:tr>
      <w:tr w:rsidR="009A06A5" w14:paraId="11B8655B" w14:textId="77777777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BB8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法定代表人姓名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92F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016A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01F9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9A06A5" w14:paraId="6D40A1BE" w14:textId="77777777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1ADD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8313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543C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3D97" w14:textId="77777777" w:rsidR="009A06A5" w:rsidRDefault="009A06A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9A06A5" w14:paraId="15036D3B" w14:textId="77777777">
        <w:trPr>
          <w:trHeight w:val="32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9F8B2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申请缓缴险种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6BC7A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养老保险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 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失业保险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 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工伤保险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958CE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申请缓缴月份参保职工人数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0B16D" w14:textId="77777777" w:rsidR="009A06A5" w:rsidRDefault="009A06A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9A06A5" w14:paraId="7C043A8D" w14:textId="77777777">
        <w:trPr>
          <w:trHeight w:val="83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2209D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申请缓缴期限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29F901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养老保险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费款所属期为（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20XX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月至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20XX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年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月），缓缴月数为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  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个</w:t>
            </w:r>
            <w:proofErr w:type="gramEnd"/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月。</w:t>
            </w:r>
          </w:p>
          <w:p w14:paraId="2B4290A1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失业保险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费款所属期为（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20XX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月至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20XX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年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月），缓缴月数为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  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个</w:t>
            </w:r>
            <w:proofErr w:type="gramEnd"/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月。</w:t>
            </w:r>
          </w:p>
          <w:p w14:paraId="33B32E4E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工伤保险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费款所属期为（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20XX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月至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20XX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年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月），缓缴月数为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 xml:space="preserve">     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个</w:t>
            </w:r>
            <w:proofErr w:type="gramEnd"/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月。</w:t>
            </w:r>
          </w:p>
        </w:tc>
      </w:tr>
      <w:tr w:rsidR="009A06A5" w14:paraId="1E240525" w14:textId="77777777">
        <w:trPr>
          <w:trHeight w:val="38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39B8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养老保险期满补缴方式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E237B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期满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一次性补缴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 xml:space="preserve">            □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期满按月补缴</w:t>
            </w:r>
          </w:p>
        </w:tc>
      </w:tr>
      <w:tr w:rsidR="009A06A5" w14:paraId="635B446C" w14:textId="77777777">
        <w:trPr>
          <w:trHeight w:val="195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61FA6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申请单位承诺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5920E3" w14:textId="77777777" w:rsidR="009A06A5" w:rsidRDefault="001C5553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本单位承诺：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严格遵守法律法规和政策；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本表所填信息真实准确，所涉及的材料本单位已留存并可提供审核；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按照相关缓缴文件履行相关义务。</w:t>
            </w:r>
          </w:p>
          <w:p w14:paraId="674F686C" w14:textId="77777777" w:rsidR="009A06A5" w:rsidRDefault="001C5553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本单位自愿遵守上述承诺事项，如有违反，一经查实，自愿自查实之日起，即终止缓缴期，按规定及时缴清应缴费用和滞纳金，接受失信惩戒机制的监管并承担相应的法律责任。</w:t>
            </w:r>
          </w:p>
          <w:p w14:paraId="6C65EDC5" w14:textId="77777777" w:rsidR="009A06A5" w:rsidRDefault="009A06A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</w:pPr>
          </w:p>
          <w:p w14:paraId="1D5F860B" w14:textId="77777777" w:rsidR="009A06A5" w:rsidRDefault="001C5553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经办人（签名）：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       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法定代表人（签名）：</w:t>
            </w:r>
          </w:p>
          <w:p w14:paraId="74A627FD" w14:textId="77777777" w:rsidR="009A06A5" w:rsidRDefault="001C5553">
            <w:pPr>
              <w:widowControl/>
              <w:spacing w:line="240" w:lineRule="exact"/>
              <w:ind w:firstLineChars="1700" w:firstLine="3400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单位（公章）</w:t>
            </w:r>
          </w:p>
          <w:p w14:paraId="25590681" w14:textId="77777777" w:rsidR="009A06A5" w:rsidRDefault="001C5553">
            <w:pPr>
              <w:widowControl/>
              <w:spacing w:line="240" w:lineRule="exact"/>
              <w:ind w:firstLineChars="1700" w:firstLine="3400"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                                           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年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月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 xml:space="preserve">     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日</w:t>
            </w:r>
          </w:p>
        </w:tc>
      </w:tr>
      <w:tr w:rsidR="009A06A5" w14:paraId="2C930392" w14:textId="77777777">
        <w:trPr>
          <w:trHeight w:val="166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CE0F7" w14:textId="77777777" w:rsidR="009A06A5" w:rsidRDefault="009A06A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692F35A0" w14:textId="77777777" w:rsidR="009A06A5" w:rsidRDefault="001C5553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                                                       </w:t>
            </w:r>
          </w:p>
          <w:p w14:paraId="5329296B" w14:textId="77777777" w:rsidR="009A06A5" w:rsidRDefault="009A06A5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6D26D618" w14:textId="77777777" w:rsidR="009A06A5" w:rsidRDefault="001C55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审批部门意见</w:t>
            </w:r>
          </w:p>
          <w:p w14:paraId="05F049F6" w14:textId="77777777" w:rsidR="009A06A5" w:rsidRDefault="009A06A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6E5223ED" w14:textId="77777777" w:rsidR="009A06A5" w:rsidRDefault="001C5553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                                                      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938D3" w14:textId="77777777" w:rsidR="009A06A5" w:rsidRDefault="009A06A5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0E45EF11" w14:textId="77777777" w:rsidR="009A06A5" w:rsidRDefault="009A06A5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2BF10EAF" w14:textId="77777777" w:rsidR="009A06A5" w:rsidRDefault="009A06A5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59CD0931" w14:textId="77777777" w:rsidR="009A06A5" w:rsidRDefault="009A06A5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29E690CB" w14:textId="77777777" w:rsidR="009A06A5" w:rsidRDefault="009A06A5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0D4D761E" w14:textId="77777777" w:rsidR="009A06A5" w:rsidRDefault="009A06A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</w:p>
          <w:p w14:paraId="6FB9237A" w14:textId="77777777" w:rsidR="009A06A5" w:rsidRDefault="001C5553">
            <w:pPr>
              <w:widowControl/>
              <w:spacing w:line="240" w:lineRule="exact"/>
              <w:ind w:firstLineChars="2489" w:firstLine="4978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A06A5" w14:paraId="3D2FA794" w14:textId="77777777">
        <w:trPr>
          <w:trHeight w:val="340"/>
          <w:jc w:val="center"/>
        </w:trPr>
        <w:tc>
          <w:tcPr>
            <w:tcW w:w="9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C272" w14:textId="77777777" w:rsidR="009A06A5" w:rsidRDefault="001C555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备注：</w:t>
            </w:r>
          </w:p>
          <w:p w14:paraId="61BC510D" w14:textId="77777777" w:rsidR="009A06A5" w:rsidRDefault="001C5553">
            <w:pPr>
              <w:widowControl/>
              <w:spacing w:line="240" w:lineRule="exact"/>
              <w:ind w:firstLineChars="200" w:firstLine="400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表中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月度利润及稳岗情况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栏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餐饮、零售、旅游、民航、公路水路铁路运输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5</w:t>
            </w:r>
            <w:r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个特困行业企业无需填写。</w:t>
            </w:r>
          </w:p>
          <w:p w14:paraId="107E3E10" w14:textId="77777777" w:rsidR="009A06A5" w:rsidRDefault="001C5553">
            <w:pPr>
              <w:widowControl/>
              <w:spacing w:line="240" w:lineRule="exact"/>
              <w:ind w:firstLineChars="200"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缓缴期间，单位应继续按规定申报应缴纳的社会保险费，发放工资时应依法代扣代缴职工个人缴纳的社会保险费，且应在税务规定的缴费截止日前，将代扣代缴的职工个人缴纳的社会保险费，足额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汇缴至税务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指定账户。</w:t>
            </w:r>
          </w:p>
          <w:p w14:paraId="561F9339" w14:textId="77777777" w:rsidR="009A06A5" w:rsidRDefault="001C5553">
            <w:pPr>
              <w:widowControl/>
              <w:spacing w:line="240" w:lineRule="exact"/>
              <w:ind w:firstLineChars="200"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3.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缓缴期间：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职工失业、工伤待遇不受影响；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职工达到法定退休年龄的，单位为其补缴基本养老保险费后，办理退休手续并享受基本养老保险待遇；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职工流动需办理社会保险关系转移的，单位为其补缴养老保险费后办理相关手续；</w:t>
            </w:r>
            <w:r>
              <w:rPr>
                <w:rFonts w:ascii="Times New Roman" w:eastAsia="汉仪书宋二S" w:hAnsi="Times New Roman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企业出现注销等情形的，应在注销前缴纳缓缴的费款。</w:t>
            </w:r>
          </w:p>
          <w:p w14:paraId="145FE061" w14:textId="77777777" w:rsidR="009A06A5" w:rsidRDefault="001C5553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缓缴期间，单位可提前缴纳已申请缓缴的社会保险费。缓缴期满后，应当按规定足额补缴缓缴的社会保险费。逾期不缴的，按规定加收滞纳金，工伤职工新发生的费用按照工伤保险有关规定执行。</w:t>
            </w:r>
          </w:p>
        </w:tc>
      </w:tr>
    </w:tbl>
    <w:p w14:paraId="1AFD055C" w14:textId="77777777" w:rsidR="00081881" w:rsidRDefault="00081881">
      <w:pPr>
        <w:widowControl/>
        <w:shd w:val="clear" w:color="auto" w:fill="FFFFFF"/>
        <w:adjustRightInd w:val="0"/>
        <w:snapToGrid w:val="0"/>
        <w:spacing w:line="580" w:lineRule="exact"/>
        <w:ind w:firstLine="720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14:paraId="683CB766" w14:textId="3C476BBD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="72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lastRenderedPageBreak/>
        <w:t>附件2</w:t>
      </w:r>
    </w:p>
    <w:p w14:paraId="7C54ADB3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 </w:t>
      </w:r>
    </w:p>
    <w:p w14:paraId="5798B093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扩大实施缓缴政策的困难行业名单</w:t>
      </w:r>
    </w:p>
    <w:p w14:paraId="17BADDAF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 </w:t>
      </w:r>
    </w:p>
    <w:p w14:paraId="76D733B9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农副食品加工业</w:t>
      </w:r>
    </w:p>
    <w:p w14:paraId="38E84668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纺织业</w:t>
      </w:r>
    </w:p>
    <w:p w14:paraId="41E1C38C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纺织服装、服饰业</w:t>
      </w:r>
    </w:p>
    <w:p w14:paraId="0D179B71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造纸和纸制品业</w:t>
      </w:r>
    </w:p>
    <w:p w14:paraId="5DB2FFC3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印刷和记录媒介复制业</w:t>
      </w:r>
    </w:p>
    <w:p w14:paraId="370AC125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医药制造业</w:t>
      </w:r>
    </w:p>
    <w:p w14:paraId="32A07219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化学纤维制造业</w:t>
      </w:r>
    </w:p>
    <w:p w14:paraId="5045F1C3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橡胶和塑料制品业</w:t>
      </w:r>
    </w:p>
    <w:p w14:paraId="2658A706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通用设备制造业</w:t>
      </w:r>
    </w:p>
    <w:p w14:paraId="320C5B36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汽车制造业</w:t>
      </w:r>
    </w:p>
    <w:p w14:paraId="1F13EBC7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铁路、船舶、航空航天和其他运输设备制造业</w:t>
      </w:r>
    </w:p>
    <w:p w14:paraId="5A48FDDE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仪器仪表制造业</w:t>
      </w:r>
    </w:p>
    <w:p w14:paraId="3D401FEA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社会工作</w:t>
      </w:r>
    </w:p>
    <w:p w14:paraId="60152DEC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广播、电视、电影和录音制作业</w:t>
      </w:r>
    </w:p>
    <w:p w14:paraId="278F8F60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文化艺术业</w:t>
      </w:r>
    </w:p>
    <w:p w14:paraId="497C2B25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体育</w:t>
      </w:r>
    </w:p>
    <w:p w14:paraId="3B8FF90B" w14:textId="77777777" w:rsidR="009A06A5" w:rsidRDefault="001C5553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娱乐业</w:t>
      </w:r>
    </w:p>
    <w:p w14:paraId="1D51E33B" w14:textId="77777777" w:rsidR="009A06A5" w:rsidRDefault="009A06A5">
      <w:pPr>
        <w:widowControl/>
        <w:shd w:val="clear" w:color="auto" w:fill="FFFFFF"/>
        <w:adjustRightInd w:val="0"/>
        <w:snapToGrid w:val="0"/>
        <w:spacing w:line="42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14:paraId="698705CE" w14:textId="77777777" w:rsidR="009A06A5" w:rsidRDefault="009A06A5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14:paraId="7BF69297" w14:textId="77777777" w:rsidR="009A06A5" w:rsidRDefault="009A06A5"/>
    <w:sectPr w:rsidR="009A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8CD6" w14:textId="77777777" w:rsidR="000C3F66" w:rsidRDefault="000C3F66" w:rsidP="004C5DF5">
      <w:r>
        <w:separator/>
      </w:r>
    </w:p>
  </w:endnote>
  <w:endnote w:type="continuationSeparator" w:id="0">
    <w:p w14:paraId="52C7F66F" w14:textId="77777777" w:rsidR="000C3F66" w:rsidRDefault="000C3F66" w:rsidP="004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S">
    <w:altName w:val="宋体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47E3" w14:textId="77777777" w:rsidR="000C3F66" w:rsidRDefault="000C3F66" w:rsidP="004C5DF5">
      <w:r>
        <w:separator/>
      </w:r>
    </w:p>
  </w:footnote>
  <w:footnote w:type="continuationSeparator" w:id="0">
    <w:p w14:paraId="30079C76" w14:textId="77777777" w:rsidR="000C3F66" w:rsidRDefault="000C3F66" w:rsidP="004C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g0ZWQ1M2JmYzViOTJiMDAyMWY2ZDc3MTJlMGFhM2QifQ=="/>
  </w:docVars>
  <w:rsids>
    <w:rsidRoot w:val="3898628C"/>
    <w:rsid w:val="00081881"/>
    <w:rsid w:val="000C3F66"/>
    <w:rsid w:val="001C5553"/>
    <w:rsid w:val="001C58F0"/>
    <w:rsid w:val="002C3243"/>
    <w:rsid w:val="002D55C1"/>
    <w:rsid w:val="0048295B"/>
    <w:rsid w:val="004C5DF5"/>
    <w:rsid w:val="00637B6A"/>
    <w:rsid w:val="007E7BF3"/>
    <w:rsid w:val="00884D4E"/>
    <w:rsid w:val="009744EA"/>
    <w:rsid w:val="009A06A5"/>
    <w:rsid w:val="00F519AF"/>
    <w:rsid w:val="00FD5AED"/>
    <w:rsid w:val="00FD6193"/>
    <w:rsid w:val="03B22EA7"/>
    <w:rsid w:val="0ACA54FA"/>
    <w:rsid w:val="32165480"/>
    <w:rsid w:val="3898628C"/>
    <w:rsid w:val="67F3341C"/>
    <w:rsid w:val="6EB433E0"/>
    <w:rsid w:val="7E5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2D9BD"/>
  <w15:docId w15:val="{B3417526-02D3-4681-9B43-78B19176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singl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4C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5DF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C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5DF5"/>
    <w:rPr>
      <w:rFonts w:ascii="Calibri" w:eastAsia="宋体" w:hAnsi="Calibri" w:cs="Times New Roman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FD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菠菜</dc:creator>
  <cp:lastModifiedBy>微软用户</cp:lastModifiedBy>
  <cp:revision>2</cp:revision>
  <dcterms:created xsi:type="dcterms:W3CDTF">2022-06-15T09:38:00Z</dcterms:created>
  <dcterms:modified xsi:type="dcterms:W3CDTF">2022-06-15T09:38:00Z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091EC26F8704492EAA886693DB9838D7</vt:lpwstr>
  </property>
</Properties>
</file>